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vifa6rllllhk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Subsecretaria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2578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517100"/>
                          <a:ext cx="5885815" cy="525780"/>
                          <a:chOff x="2403075" y="3517100"/>
                          <a:chExt cx="5885825" cy="525800"/>
                        </a:xfrm>
                      </wpg:grpSpPr>
                      <wpg:grpSp>
                        <wpg:cNvGrpSpPr/>
                        <wpg:grpSpPr>
                          <a:xfrm>
                            <a:off x="2403093" y="3517110"/>
                            <a:ext cx="5885815" cy="525780"/>
                            <a:chOff x="2311653" y="3594580"/>
                            <a:chExt cx="6068695" cy="3844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8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84479"/>
                              <a:chOff x="0" y="0"/>
                              <a:chExt cx="6068695" cy="38447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0958" y="56382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 sobre organización del sistema de emergencia local.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2578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25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Esta jornada de capacitación, enmarcada en el fortalecimiento del Sistema de Defensa Civil, busca, a través de un formato taller vivencial y reflexivo, brindar a los equipos municipales abocados a esta tarea los conocimientos necesarios sobre la identificación y el manejo inicial de sustancias peligrosas en situaciones de emergencia. El objetivo es que los participantes comprendan la importancia del cuidado y apliquen las técnicas y procedimientos iniciales adecuados para proteger la salud, los bienes y el medio ambiente ante eventos que involucren materiales peligrosos.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las instituciones que forman el sistema provincial de emergencias local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presencial, virtual o semipresencial.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2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entre los meses de marzo y diciembre de 2025. Las fechas tentativas propuestas serán: 10 de agosto y 10 de noviembre.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participación máxima presencial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asistentes, dependiendo de las dimensiones del lugar. Participación máxima virtual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iu13QiDoVvCc+C2S+QeUinBxA==">CgMxLjAyDmgudmlmYTZybGxsbGhrOAByITF3YlBjV1ZEZ2hLUXgzalQzMjN4TXlLVUVhS0Y2eVdiQg==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2025-05-05T19:41:00Z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